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rPr>
          <w:rFonts w:ascii="Arial" w:cs="Arial" w:eastAsia="Arial" w:hAnsi="Arial"/>
          <w:sz w:val="36"/>
          <w:szCs w:val="36"/>
        </w:rPr>
      </w:pPr>
      <w:r w:rsidDel="00000000" w:rsidR="00000000" w:rsidRPr="00000000">
        <w:rPr>
          <w:rFonts w:ascii="Arial" w:cs="Arial" w:eastAsia="Arial" w:hAnsi="Arial"/>
          <w:b w:val="1"/>
          <w:sz w:val="36"/>
          <w:szCs w:val="36"/>
          <w:rtl w:val="0"/>
        </w:rPr>
        <w:t xml:space="preserve">Call-Off Schedule 19 (Scottish Law)</w:t>
      </w: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Call-Off Schedule 19 may be included to adapt the Core Terms and Schedules so that the Call Off Contract is under Scottish Law.</w:t>
      </w:r>
    </w:p>
    <w:p w:rsidR="00000000" w:rsidDel="00000000" w:rsidP="00000000" w:rsidRDefault="00000000" w:rsidRPr="00000000" w14:paraId="0000000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19, (Other people’s rights in this contract) – “Contract Rights of Third Parties Act (CRTPA)”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Contract (Third Party Rights) (Scotland) Act 2017 (CTPRSA)</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CRTPA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CTPRSA</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 (Resolving Disputes):</w:t>
      </w:r>
    </w:p>
    <w:p w:rsidR="00000000" w:rsidDel="00000000" w:rsidP="00000000" w:rsidRDefault="00000000" w:rsidRPr="00000000" w14:paraId="000000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34.2 – add the following wording: “The governing law and jurisdiction provisions of CEDR’s Model Mediation Agreement shall be deemed to be amended to refer to the laws of Scotland and the Court of Session.”</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34.3  The term “Courts of England and Wales” shall be amended to read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 </w:t>
      </w: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34.4 – Conduct of Arbitration. </w:t>
      </w:r>
    </w:p>
    <w:p w:rsidR="00000000" w:rsidDel="00000000" w:rsidP="00000000" w:rsidRDefault="00000000" w:rsidRPr="00000000" w14:paraId="000000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under the London Court of International Arbitration rules current at the time of the Dispute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deleted.</w:t>
      </w:r>
    </w:p>
    <w:p w:rsidR="00000000" w:rsidDel="00000000" w:rsidP="00000000" w:rsidRDefault="00000000" w:rsidRPr="00000000" w14:paraId="0000000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seat or legal place of the arbitration shall be amended so that it takes place in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Edinburgh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as opposed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London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 the following wording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arbitration shall be conducted in accordance with the Arbitration (Scotland) Act 2010 subject to disapplication in whole or in part of any of the default rules of the Scottish Arbitration Rules comprising Schedule 1 to that Act as the Parties may agree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35 (Which Laws apply) – the words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0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Joint Schedule 1 – Definitions shall be amended as follows:</w:t>
      </w:r>
    </w:p>
    <w:p w:rsidR="00000000" w:rsidDel="00000000" w:rsidP="00000000" w:rsidRDefault="00000000" w:rsidRPr="00000000" w14:paraId="0000001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definition of “CRTPA” shall be replaced by “”CTPRSA” the Contract (Third Party Rights) (Scotland) Act 2017”.</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“Dispute” the reference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law</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the Law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the reference to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 courts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by the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“Insolvency Event”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“Assignation”.</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definition of “Losses” the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“tort”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replaced with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“delict”.</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part (a) of the definition of “Intellectual Property Rights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words</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“Know-How”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“trade secrets”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refer to pre-existing know-how and trade secrets only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“Working Day”: reference to “England and Wales” replaced by “Scotland”</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Guarantee is selected, the following provisions of Joint Schedule 8 – Guarantee shall be amended as follows: </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Throughout the whole Schedule delete all references to “deed of Guarantee” merely express as “Guarantee” </w:t>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Annex 1 - Form of Guarantee:</w:t>
      </w:r>
    </w:p>
    <w:p w:rsidR="00000000" w:rsidDel="00000000" w:rsidP="00000000" w:rsidRDefault="00000000" w:rsidRPr="00000000" w14:paraId="000000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WHEREAS (B) “deed” replaced by “contract”</w:t>
      </w:r>
    </w:p>
    <w:p w:rsidR="00000000" w:rsidDel="00000000" w:rsidP="00000000" w:rsidRDefault="00000000" w:rsidRPr="00000000" w14:paraId="000000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4.1 Delete references to “England and Wales” when referring to addresses.</w:t>
      </w:r>
    </w:p>
    <w:p w:rsidR="00000000" w:rsidDel="00000000" w:rsidP="00000000" w:rsidRDefault="00000000" w:rsidRPr="00000000" w14:paraId="000000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12 – the word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assignment”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amended to “assignation”.</w:t>
      </w:r>
    </w:p>
    <w:p w:rsidR="00000000" w:rsidDel="00000000" w:rsidP="00000000" w:rsidRDefault="00000000" w:rsidRPr="00000000" w14:paraId="000000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14 – “Contract (Rights of Third Parties) Act 1999” shall be amended to “Contract (Third Party Rights) (Scotland) Act 2017”.</w:t>
      </w:r>
    </w:p>
    <w:p w:rsidR="00000000" w:rsidDel="00000000" w:rsidP="00000000" w:rsidRDefault="00000000" w:rsidRPr="00000000" w14:paraId="000000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Clause 16 Governing Law (add “and Jurisdiction”).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“Courts of England”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“Court of Session”.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“Scottish”</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References to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England and Wales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to be replaced by “</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Scotland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40" w:lineRule="auto"/>
        <w:ind w:left="2880" w:right="0" w:hanging="72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Alter execution strip to read as follows:</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“IN WITNESS WHEREOF these presents consisting of this page and the [ ] preceding pages are executed in duplicate as follows:</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SIGNATURE: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Name: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Position:</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Place of signing:</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Date:</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name:</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120" w:before="240" w:line="240" w:lineRule="auto"/>
        <w:ind w:left="2880" w:right="0" w:hanging="720"/>
        <w:jc w:val="left"/>
        <w:rPr>
          <w:rFonts w:ascii="Arial" w:cs="Arial" w:eastAsia="Arial" w:hAnsi="Arial"/>
          <w:b w:val="0"/>
          <w:i w:val="1"/>
          <w:smallCaps w:val="1"/>
          <w:strike w:val="0"/>
          <w:color w:val="000000"/>
          <w:sz w:val="24"/>
          <w:szCs w:val="24"/>
          <w:u w:val="none"/>
          <w:shd w:fill="auto" w:val="clear"/>
          <w:vertAlign w:val="baseline"/>
        </w:rPr>
      </w:pPr>
      <w:r w:rsidDel="00000000" w:rsidR="00000000" w:rsidRPr="00000000">
        <w:rPr>
          <w:rFonts w:ascii="Arial" w:cs="Arial" w:eastAsia="Arial" w:hAnsi="Arial"/>
          <w:b w:val="0"/>
          <w:i w:val="1"/>
          <w:smallCaps w:val="1"/>
          <w:strike w:val="0"/>
          <w:color w:val="000000"/>
          <w:sz w:val="24"/>
          <w:szCs w:val="24"/>
          <w:u w:val="none"/>
          <w:shd w:fill="auto" w:val="clear"/>
          <w:vertAlign w:val="baseline"/>
          <w:rtl w:val="0"/>
        </w:rPr>
        <w:t xml:space="preserve">Witness address:”</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Call-Off Schedules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highlight w:val="yellow"/>
          <w:rtl w:val="0"/>
        </w:rPr>
        <w:t xml:space="preserve">[Buyer Guidance</w:t>
      </w:r>
      <w:r w:rsidDel="00000000" w:rsidR="00000000" w:rsidRPr="00000000">
        <w:rPr>
          <w:rtl w:val="0"/>
        </w:rPr>
        <w:t xml:space="preserve"> Insert any amendments to the Call-Off schedules where Scottish Law applies]</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120" w:before="240" w:line="240" w:lineRule="auto"/>
        <w:ind w:left="720" w:right="0" w:hanging="72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References to Legislation</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720" w:right="0" w:hanging="576"/>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legislation applicable to England and Wales only is expressly mentioned in this Call Off Contract it shall have the effect of substituting the equivalent legislation applicable in Scotland. </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99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RM6238</w:t>
    </w:r>
  </w:p>
  <w:p w:rsidR="00000000" w:rsidDel="00000000" w:rsidP="00000000" w:rsidRDefault="00000000" w:rsidRPr="00000000" w14:paraId="00000037">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19 (Scottish Law)</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rFonts w:ascii="Arial" w:cs="Arial" w:eastAsia="Arial" w:hAnsi="Arial"/>
        <w:b w:val="1"/>
        <w:i w:val="0"/>
        <w:smallCaps w:val="0"/>
        <w:strike w:val="0"/>
        <w:color w:val="000000"/>
        <w:sz w:val="20"/>
        <w:szCs w:val="20"/>
        <w:u w:val="none"/>
        <w:vertAlign w:val="baseline"/>
      </w:rPr>
    </w:lvl>
    <w:lvl w:ilvl="1">
      <w:start w:val="1"/>
      <w:numFmt w:val="decimal"/>
      <w:lvlText w:val="%1.%2"/>
      <w:lvlJc w:val="left"/>
      <w:pPr>
        <w:ind w:left="1440" w:hanging="720"/>
      </w:pPr>
      <w:rPr>
        <w:rFonts w:ascii="Calibri" w:cs="Calibri" w:eastAsia="Calibri" w:hAnsi="Calibri"/>
        <w:b w:val="0"/>
        <w:i w:val="0"/>
        <w:smallCaps w:val="0"/>
        <w:strike w:val="0"/>
        <w:color w:val="000000"/>
        <w:sz w:val="22"/>
        <w:szCs w:val="22"/>
        <w:u w:val="none"/>
        <w:vertAlign w:val="baseline"/>
      </w:rPr>
    </w:lvl>
    <w:lvl w:ilvl="2">
      <w:start w:val="1"/>
      <w:numFmt w:val="decimal"/>
      <w:lvlText w:val="%1.%2.%3"/>
      <w:lvlJc w:val="left"/>
      <w:pPr>
        <w:ind w:left="1996"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paragraph" w:styleId="Heading1">
    <w:name w:val="heading 1"/>
    <w:basedOn w:val="Normal"/>
    <w:next w:val="Normal"/>
    <w:link w:val="Heading1Char"/>
    <w:uiPriority w:val="9"/>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1"/>
      </w:numPr>
      <w:tabs>
        <w:tab w:val="left" w:pos="142"/>
      </w:tabs>
      <w:adjustRightInd w:val="0"/>
      <w:spacing w:after="120" w:before="240" w:line="240" w:lineRule="auto"/>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adjustRightInd w:val="0"/>
      <w:spacing w:after="120" w:before="120" w:line="240" w:lineRule="auto"/>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ind w:left="2592" w:hanging="936"/>
    </w:pPr>
  </w:style>
  <w:style w:type="paragraph" w:styleId="GPSL5numberedclause" w:customStyle="1">
    <w:name w:val="GPS L5 numbered clause"/>
    <w:basedOn w:val="GPSL4numberedclause"/>
    <w:link w:val="GPSL5numberedclauseChar"/>
    <w:qFormat w:val="1"/>
    <w:pPr>
      <w:numPr>
        <w:ilvl w:val="4"/>
      </w:numPr>
    </w:pPr>
  </w:style>
  <w:style w:type="paragraph" w:styleId="GPSL2NumberedBoldHeading" w:customStyle="1">
    <w:name w:val="GPS L2 Numbered Bold Heading"/>
    <w:basedOn w:val="Normal"/>
    <w:qFormat w:val="1"/>
    <w:pPr>
      <w:numPr>
        <w:ilvl w:val="1"/>
        <w:numId w:val="1"/>
      </w:numPr>
      <w:adjustRightInd w:val="0"/>
      <w:spacing w:after="120" w:before="120" w:line="240" w:lineRule="auto"/>
      <w:ind w:left="936" w:hanging="576"/>
      <w:jc w:val="both"/>
    </w:pPr>
    <w:rPr>
      <w:rFonts w:cs="Arial" w:eastAsia="Times New Roman"/>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rPr>
      <w:rFonts w:ascii="Tahoma" w:cs="Tahoma" w:eastAsia="Calibri" w:hAnsi="Tahoma"/>
      <w:sz w:val="16"/>
      <w:szCs w:val="16"/>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paragraph" w:styleId="GPSSchTitleandNumber" w:customStyle="1">
    <w:name w:val="GPS Sch Title and Number"/>
    <w:basedOn w:val="Normal"/>
    <w:link w:val="GPSSchTitleandNumberChar"/>
    <w:qFormat w:val="1"/>
    <w:pPr>
      <w:keepNext w:val="1"/>
      <w:adjustRightInd w:val="0"/>
      <w:spacing w:after="240" w:line="240" w:lineRule="auto"/>
      <w:jc w:val="center"/>
      <w:outlineLvl w:val="0"/>
    </w:pPr>
    <w:rPr>
      <w:rFonts w:ascii="Arial Bold"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paragraph" w:styleId="GPSL1SCHEDULEHeading" w:customStyle="1">
    <w:name w:val="GPS L1 SCHEDULE Heading"/>
    <w:basedOn w:val="GPSL1CLAUSEHEADING"/>
    <w:link w:val="GPSL1SCHEDULEHeadingChar"/>
    <w:qFormat w:val="1"/>
    <w:pPr>
      <w:numPr>
        <w:numId w:val="0"/>
      </w:numPr>
      <w:tabs>
        <w:tab w:val="clear" w:pos="142"/>
        <w:tab w:val="left" w:pos="0"/>
      </w:tabs>
      <w:ind w:left="360" w:hanging="360"/>
      <w:outlineLvl w:val="9"/>
    </w:p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GPSSchPart" w:customStyle="1">
    <w:name w:val="GPS Sch Part"/>
    <w:basedOn w:val="GPSSchAnnexname"/>
    <w:link w:val="GPSSchPart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character" w:styleId="GPSSchPartChar" w:customStyle="1">
    <w:name w:val="GPS Sch Part Char"/>
    <w:link w:val="GPSSchPart"/>
    <w:rPr>
      <w:rFonts w:ascii="Calibri" w:cs="Times New Roman" w:eastAsia="STZhongsong" w:hAnsi="Calibri"/>
      <w:b w:val="1"/>
      <w:caps w:val="1"/>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paragraph" w:styleId="GPSL2Indent" w:customStyle="1">
    <w:name w:val="GPS L2 Indent"/>
    <w:basedOn w:val="Normal"/>
    <w:link w:val="GPSL2IndentChar"/>
    <w:qFormat w:val="1"/>
    <w:pPr>
      <w:tabs>
        <w:tab w:val="left" w:pos="3402"/>
      </w:tabs>
      <w:overflowPunct w:val="0"/>
      <w:autoSpaceDE w:val="0"/>
      <w:autoSpaceDN w:val="0"/>
      <w:adjustRightInd w:val="0"/>
      <w:spacing w:after="220" w:line="240" w:lineRule="auto"/>
      <w:ind w:left="1134"/>
      <w:jc w:val="both"/>
      <w:textAlignment w:val="baseline"/>
    </w:pPr>
    <w:rPr>
      <w:rFonts w:cs="Arial" w:eastAsia="Times New Roman"/>
      <w:szCs w:val="24"/>
    </w:rPr>
  </w:style>
  <w:style w:type="character" w:styleId="GPSL2IndentChar" w:customStyle="1">
    <w:name w:val="GPS L2 Indent Char"/>
    <w:link w:val="GPSL2Indent"/>
    <w:rPr>
      <w:rFonts w:ascii="Calibri" w:cs="Arial" w:eastAsia="Times New Roman" w:hAnsi="Calibri"/>
      <w:szCs w:val="24"/>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rFonts w:ascii="Calibri" w:cs="Times New Roman" w:eastAsia="Calibri" w:hAnsi="Calibri"/>
      <w:sz w:val="20"/>
      <w:szCs w:val="20"/>
    </w:rPr>
  </w:style>
  <w:style w:type="character" w:styleId="FootnoteReference">
    <w:name w:val="footnote reference"/>
    <w:basedOn w:val="DefaultParagraphFont"/>
    <w:uiPriority w:val="99"/>
    <w:semiHidden w:val="1"/>
    <w:unhideWhenUsed w:val="1"/>
    <w:rPr>
      <w:vertAlign w:val="superscript"/>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Heading2Char" w:customStyle="1">
    <w:name w:val="Heading 2 Char"/>
    <w:basedOn w:val="DefaultParagraphFont"/>
    <w:link w:val="Heading2"/>
    <w:uiPriority w:val="9"/>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3ykSNd3/jJoxM6OjeTc1FUK8WQ==">AMUW2mXsvp2lBBOU2N0OdPVdQk34sHuuMeA5siTeP3lN6G9q1XxembUod3kX7kllJ61OwIbGgyxAbmnnT9lgFcSrfkRsfF0bK52siyIuy99CBnQi8PS7x/io5hJDglXNSUYLIe5wGeTW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2020-12-10T14:34:00Z</dcterms:created>
  <dc:creator>Christopher Stanley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